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A" w:rsidRDefault="0043023A" w:rsidP="0043023A">
      <w:pPr>
        <w:pStyle w:val="Standard"/>
        <w:jc w:val="both"/>
      </w:pPr>
    </w:p>
    <w:p w:rsidR="0043023A" w:rsidRDefault="0043023A" w:rsidP="0043023A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46430" cy="798830"/>
            <wp:effectExtent l="0" t="0" r="1270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3A" w:rsidRDefault="0043023A" w:rsidP="0043023A">
      <w:pPr>
        <w:pStyle w:val="Standard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  <w:r>
        <w:t>Администрация муниципального образования</w:t>
      </w:r>
    </w:p>
    <w:p w:rsidR="0043023A" w:rsidRDefault="0043023A" w:rsidP="0043023A">
      <w:pPr>
        <w:pStyle w:val="Standard"/>
        <w:jc w:val="center"/>
      </w:pPr>
      <w:r>
        <w:t>Сосновского сельского поселения муниципального образования</w:t>
      </w:r>
    </w:p>
    <w:p w:rsidR="0043023A" w:rsidRDefault="0043023A" w:rsidP="0043023A">
      <w:pPr>
        <w:pStyle w:val="Standard"/>
        <w:jc w:val="center"/>
      </w:pP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43023A" w:rsidRDefault="0043023A" w:rsidP="0043023A">
      <w:pPr>
        <w:pStyle w:val="Standard"/>
        <w:tabs>
          <w:tab w:val="left" w:pos="5272"/>
        </w:tabs>
      </w:pPr>
      <w:r>
        <w:tab/>
      </w:r>
    </w:p>
    <w:p w:rsidR="0043023A" w:rsidRDefault="0043023A" w:rsidP="0043023A">
      <w:pPr>
        <w:pStyle w:val="Standard"/>
        <w:jc w:val="center"/>
        <w:rPr>
          <w:b/>
        </w:rPr>
      </w:pPr>
      <w:r>
        <w:rPr>
          <w:b/>
        </w:rPr>
        <w:t>ПОСТАНОВЛЕНИЕ</w:t>
      </w:r>
    </w:p>
    <w:p w:rsidR="0043023A" w:rsidRDefault="0043023A" w:rsidP="0043023A">
      <w:pPr>
        <w:pStyle w:val="ConsPlusTitle"/>
        <w:jc w:val="center"/>
        <w:rPr>
          <w:color w:val="333333"/>
        </w:rPr>
      </w:pPr>
    </w:p>
    <w:p w:rsidR="0043023A" w:rsidRDefault="00F062B4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>от 23 декабря 2016 г. N 648</w:t>
      </w:r>
    </w:p>
    <w:p w:rsidR="0043023A" w:rsidRDefault="0043023A" w:rsidP="0043023A">
      <w:pPr>
        <w:pStyle w:val="ConsPlusTitle"/>
        <w:rPr>
          <w:b w:val="0"/>
          <w:color w:val="333333"/>
        </w:rPr>
      </w:pPr>
    </w:p>
    <w:p w:rsidR="00F062B4" w:rsidRDefault="0043023A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 xml:space="preserve">Об утверждении </w:t>
      </w:r>
      <w:r w:rsidR="00F062B4">
        <w:rPr>
          <w:b w:val="0"/>
          <w:color w:val="333333"/>
        </w:rPr>
        <w:t>планов проведения</w:t>
      </w:r>
    </w:p>
    <w:p w:rsidR="00F062B4" w:rsidRDefault="00F062B4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>Плановых проверок граждан, юридических</w:t>
      </w:r>
    </w:p>
    <w:p w:rsidR="00F062B4" w:rsidRDefault="00F062B4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 xml:space="preserve">Лиц и индивидуальных предпринимателей на </w:t>
      </w:r>
    </w:p>
    <w:p w:rsidR="0043023A" w:rsidRDefault="00F062B4" w:rsidP="00F062B4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 xml:space="preserve">2017 год </w:t>
      </w:r>
    </w:p>
    <w:p w:rsidR="00F062B4" w:rsidRDefault="00F062B4" w:rsidP="00F062B4">
      <w:pPr>
        <w:pStyle w:val="ConsPlusTitle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области, в соответствии со </w:t>
      </w:r>
      <w:hyperlink r:id="rId5" w:history="1">
        <w:r>
          <w:rPr>
            <w:rStyle w:val="a3"/>
            <w:color w:val="333333"/>
            <w:u w:val="none"/>
          </w:rPr>
          <w:t>ст. 72</w:t>
        </w:r>
      </w:hyperlink>
      <w:r>
        <w:rPr>
          <w:color w:val="333333"/>
        </w:rPr>
        <w:t xml:space="preserve"> Земельного кодекса Российской Федерации, Федеральным </w:t>
      </w:r>
      <w:hyperlink r:id="rId6" w:history="1">
        <w:r>
          <w:rPr>
            <w:rStyle w:val="a3"/>
            <w:color w:val="333333"/>
            <w:u w:val="none"/>
          </w:rPr>
          <w:t>законом</w:t>
        </w:r>
      </w:hyperlink>
      <w:r>
        <w:rPr>
          <w:color w:val="333333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>
          <w:rPr>
            <w:rStyle w:val="a3"/>
            <w:color w:val="333333"/>
            <w:u w:val="none"/>
          </w:rPr>
          <w:t>законом</w:t>
        </w:r>
      </w:hyperlink>
      <w:r>
        <w:rPr>
          <w:color w:val="333333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color w:val="333333"/>
            <w:u w:val="none"/>
          </w:rPr>
          <w:t>постановлением</w:t>
        </w:r>
      </w:hyperlink>
      <w:r>
        <w:rPr>
          <w:color w:val="333333"/>
        </w:rPr>
        <w:t xml:space="preserve"> 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области", Уставом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</w:t>
      </w:r>
      <w:r w:rsidR="00F062B4">
        <w:rPr>
          <w:color w:val="333333"/>
        </w:rPr>
        <w:t>,</w:t>
      </w:r>
      <w:r>
        <w:rPr>
          <w:color w:val="333333"/>
        </w:rPr>
        <w:t xml:space="preserve"> Администрация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области, осуществляющая полномочия по решению вопросов местного значения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поселения, постановляет: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F062B4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1. Утвердить </w:t>
      </w:r>
      <w:r w:rsidR="00F062B4">
        <w:rPr>
          <w:color w:val="333333"/>
        </w:rPr>
        <w:t>планы проведения проверок:</w:t>
      </w:r>
    </w:p>
    <w:p w:rsidR="00F062B4" w:rsidRDefault="00F062B4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>1.1 Юридических лиц и индивидуальных предпринимателей согласно приложению 1.</w:t>
      </w:r>
    </w:p>
    <w:p w:rsidR="00D5772C" w:rsidRDefault="00F062B4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1.2 Граждан согласно приложению 2. </w:t>
      </w:r>
    </w:p>
    <w:p w:rsidR="0043023A" w:rsidRPr="00D5772C" w:rsidRDefault="00F062B4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>2</w:t>
      </w:r>
      <w:r w:rsidR="0043023A">
        <w:rPr>
          <w:color w:val="333333"/>
        </w:rPr>
        <w:t xml:space="preserve">. </w:t>
      </w:r>
      <w:r w:rsidR="00D5772C">
        <w:rPr>
          <w:color w:val="333333"/>
        </w:rPr>
        <w:t>Разместить планы проведения проверок граждан, юридических лиц и индивидуальных предпринимателей на 2017 год в сети интернет на официальном сайте администрации</w:t>
      </w:r>
      <w:r w:rsidR="0043023A">
        <w:rPr>
          <w:color w:val="333333"/>
        </w:rPr>
        <w:t xml:space="preserve"> муниципального образования Сосновское сельское поселение муниципального образования </w:t>
      </w:r>
      <w:proofErr w:type="spellStart"/>
      <w:r w:rsidR="0043023A">
        <w:rPr>
          <w:color w:val="333333"/>
        </w:rPr>
        <w:t>Приозерский</w:t>
      </w:r>
      <w:proofErr w:type="spellEnd"/>
      <w:r w:rsidR="0043023A">
        <w:rPr>
          <w:color w:val="333333"/>
        </w:rPr>
        <w:t xml:space="preserve"> муниципальный район Ленинградской области </w:t>
      </w:r>
      <w:r w:rsidR="00D5772C">
        <w:rPr>
          <w:color w:val="333333"/>
          <w:lang w:val="en-US"/>
        </w:rPr>
        <w:t>www</w:t>
      </w:r>
      <w:r w:rsidR="00D5772C" w:rsidRPr="00D5772C">
        <w:rPr>
          <w:color w:val="333333"/>
        </w:rPr>
        <w:t>.</w:t>
      </w:r>
      <w:proofErr w:type="spellStart"/>
      <w:r w:rsidR="00D5772C">
        <w:rPr>
          <w:color w:val="333333"/>
          <w:lang w:val="en-US"/>
        </w:rPr>
        <w:t>admsosnovo</w:t>
      </w:r>
      <w:proofErr w:type="spellEnd"/>
      <w:r w:rsidR="00D5772C" w:rsidRPr="00D5772C">
        <w:rPr>
          <w:color w:val="333333"/>
        </w:rPr>
        <w:t>.</w:t>
      </w:r>
      <w:proofErr w:type="spellStart"/>
      <w:r w:rsidR="00D5772C">
        <w:rPr>
          <w:color w:val="333333"/>
          <w:lang w:val="en-US"/>
        </w:rPr>
        <w:t>ru</w:t>
      </w:r>
      <w:proofErr w:type="spellEnd"/>
    </w:p>
    <w:p w:rsidR="00F062B4" w:rsidRDefault="00F062B4" w:rsidP="00F062B4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3. Контроль за исполнением данного постановления оставляю за собой. 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</w:p>
    <w:p w:rsidR="0043023A" w:rsidRDefault="009953DF" w:rsidP="0043023A">
      <w:pPr>
        <w:pStyle w:val="ConsPlusNormal"/>
        <w:rPr>
          <w:color w:val="333333"/>
        </w:rPr>
      </w:pPr>
      <w:r>
        <w:rPr>
          <w:color w:val="333333"/>
        </w:rPr>
        <w:t xml:space="preserve">И.О. </w:t>
      </w:r>
      <w:r w:rsidR="0043023A">
        <w:rPr>
          <w:color w:val="333333"/>
        </w:rPr>
        <w:t>Глав</w:t>
      </w:r>
      <w:r>
        <w:rPr>
          <w:color w:val="333333"/>
        </w:rPr>
        <w:t>ы</w:t>
      </w:r>
      <w:r w:rsidR="0043023A">
        <w:rPr>
          <w:color w:val="333333"/>
        </w:rPr>
        <w:t xml:space="preserve"> Администрации                                                       </w:t>
      </w:r>
      <w:r>
        <w:rPr>
          <w:color w:val="333333"/>
        </w:rPr>
        <w:t xml:space="preserve">                  И.В. </w:t>
      </w:r>
      <w:proofErr w:type="spellStart"/>
      <w:r>
        <w:rPr>
          <w:color w:val="333333"/>
        </w:rPr>
        <w:t>Гильгенберг</w:t>
      </w:r>
      <w:proofErr w:type="spellEnd"/>
    </w:p>
    <w:p w:rsidR="009953DF" w:rsidRDefault="009953DF" w:rsidP="0043023A">
      <w:pPr>
        <w:pStyle w:val="ConsPlusNormal"/>
        <w:rPr>
          <w:color w:val="333333"/>
        </w:rPr>
      </w:pPr>
    </w:p>
    <w:p w:rsidR="009953DF" w:rsidRDefault="009953DF" w:rsidP="0043023A">
      <w:pPr>
        <w:pStyle w:val="ConsPlusNormal"/>
        <w:rPr>
          <w:color w:val="333333"/>
        </w:rPr>
      </w:pP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Приложение 2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УТВЕРЖДЕН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И.О. Главы администрации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Муниципального образования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Сосновское сельское поселение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Муниципального образования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</w:t>
      </w:r>
    </w:p>
    <w:p w:rsidR="009953DF" w:rsidRDefault="009953DF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>Ленинградской области</w:t>
      </w:r>
    </w:p>
    <w:p w:rsidR="009953DF" w:rsidRDefault="00207510" w:rsidP="009953DF">
      <w:pPr>
        <w:pStyle w:val="ConsPlusNormal"/>
        <w:jc w:val="right"/>
        <w:rPr>
          <w:color w:val="333333"/>
        </w:rPr>
      </w:pPr>
      <w:r>
        <w:rPr>
          <w:color w:val="333333"/>
        </w:rPr>
        <w:t xml:space="preserve">____________________ И.В. </w:t>
      </w:r>
      <w:proofErr w:type="spellStart"/>
      <w:r>
        <w:rPr>
          <w:color w:val="333333"/>
        </w:rPr>
        <w:t>Гильгенберг</w:t>
      </w:r>
      <w:proofErr w:type="spellEnd"/>
    </w:p>
    <w:p w:rsidR="00207510" w:rsidRDefault="00207510" w:rsidP="009953DF">
      <w:pPr>
        <w:pStyle w:val="ConsPlusNormal"/>
        <w:jc w:val="right"/>
        <w:rPr>
          <w:color w:val="333333"/>
        </w:rPr>
      </w:pPr>
    </w:p>
    <w:p w:rsidR="00207510" w:rsidRDefault="00207510" w:rsidP="009953DF">
      <w:pPr>
        <w:pStyle w:val="ConsPlusNormal"/>
        <w:jc w:val="right"/>
        <w:rPr>
          <w:color w:val="333333"/>
        </w:rPr>
      </w:pPr>
    </w:p>
    <w:p w:rsidR="00207510" w:rsidRDefault="00207510" w:rsidP="009953DF">
      <w:pPr>
        <w:pStyle w:val="ConsPlusNormal"/>
        <w:jc w:val="right"/>
        <w:rPr>
          <w:color w:val="333333"/>
        </w:rPr>
      </w:pPr>
    </w:p>
    <w:p w:rsidR="00207510" w:rsidRDefault="00207510" w:rsidP="00207510">
      <w:pPr>
        <w:pStyle w:val="ConsPlusNormal"/>
        <w:jc w:val="center"/>
        <w:rPr>
          <w:color w:val="333333"/>
        </w:rPr>
      </w:pPr>
      <w:r>
        <w:rPr>
          <w:color w:val="333333"/>
        </w:rPr>
        <w:t xml:space="preserve">ПЛАН </w:t>
      </w:r>
      <w:bookmarkStart w:id="0" w:name="_GoBack"/>
      <w:bookmarkEnd w:id="0"/>
    </w:p>
    <w:p w:rsidR="00207510" w:rsidRDefault="00207510" w:rsidP="00207510">
      <w:pPr>
        <w:pStyle w:val="ConsPlusNormal"/>
        <w:jc w:val="center"/>
        <w:rPr>
          <w:color w:val="333333"/>
        </w:rPr>
      </w:pPr>
      <w:r>
        <w:rPr>
          <w:color w:val="333333"/>
        </w:rPr>
        <w:t>Проведения проверок граждан на 2017 год</w:t>
      </w:r>
    </w:p>
    <w:p w:rsidR="00207510" w:rsidRDefault="00207510" w:rsidP="00207510">
      <w:pPr>
        <w:pStyle w:val="ConsPlusNormal"/>
        <w:jc w:val="center"/>
        <w:rPr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014"/>
        <w:gridCol w:w="1811"/>
        <w:gridCol w:w="1924"/>
        <w:gridCol w:w="1721"/>
        <w:gridCol w:w="1349"/>
      </w:tblGrid>
      <w:tr w:rsidR="00207510" w:rsidTr="00207510">
        <w:tc>
          <w:tcPr>
            <w:tcW w:w="526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№ п\п</w:t>
            </w:r>
          </w:p>
        </w:tc>
        <w:tc>
          <w:tcPr>
            <w:tcW w:w="2014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811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924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721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349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Срок проведения проверки</w:t>
            </w:r>
          </w:p>
        </w:tc>
      </w:tr>
      <w:tr w:rsidR="00207510" w:rsidTr="00207510">
        <w:tc>
          <w:tcPr>
            <w:tcW w:w="526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47:03:1212001:192</w:t>
            </w:r>
          </w:p>
        </w:tc>
        <w:tc>
          <w:tcPr>
            <w:tcW w:w="1811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207510">
              <w:rPr>
                <w:color w:val="333333"/>
                <w:sz w:val="22"/>
                <w:szCs w:val="22"/>
              </w:rPr>
              <w:t>Приозерский</w:t>
            </w:r>
            <w:proofErr w:type="spellEnd"/>
            <w:r w:rsidRPr="00207510">
              <w:rPr>
                <w:color w:val="333333"/>
                <w:sz w:val="22"/>
                <w:szCs w:val="22"/>
              </w:rPr>
              <w:t xml:space="preserve"> район, сосновское сельское поселение, поселок станция Орехово, ул. Солнечная, д. 11</w:t>
            </w:r>
          </w:p>
        </w:tc>
        <w:tc>
          <w:tcPr>
            <w:tcW w:w="1924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721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Постановление Правительства Ленинградской области от 16.02.2015 г. №29</w:t>
            </w:r>
          </w:p>
        </w:tc>
        <w:tc>
          <w:tcPr>
            <w:tcW w:w="1349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февраль</w:t>
            </w:r>
          </w:p>
        </w:tc>
      </w:tr>
      <w:tr w:rsidR="00207510" w:rsidTr="00207510">
        <w:tc>
          <w:tcPr>
            <w:tcW w:w="526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2014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47:03:1205002:195</w:t>
            </w:r>
          </w:p>
        </w:tc>
        <w:tc>
          <w:tcPr>
            <w:tcW w:w="1811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207510">
              <w:rPr>
                <w:color w:val="333333"/>
                <w:sz w:val="22"/>
                <w:szCs w:val="22"/>
              </w:rPr>
              <w:t>Приозерский</w:t>
            </w:r>
            <w:proofErr w:type="spellEnd"/>
            <w:r w:rsidRPr="00207510">
              <w:rPr>
                <w:color w:val="333333"/>
                <w:sz w:val="22"/>
                <w:szCs w:val="22"/>
              </w:rPr>
              <w:t xml:space="preserve"> район, сосновское сельское поселение, поселок</w:t>
            </w:r>
            <w:r w:rsidRPr="00207510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07510">
              <w:rPr>
                <w:color w:val="333333"/>
                <w:sz w:val="22"/>
                <w:szCs w:val="22"/>
              </w:rPr>
              <w:t>Колосково</w:t>
            </w:r>
            <w:proofErr w:type="spellEnd"/>
            <w:r w:rsidRPr="00207510">
              <w:rPr>
                <w:color w:val="333333"/>
                <w:sz w:val="22"/>
                <w:szCs w:val="22"/>
              </w:rPr>
              <w:t>, ул. Верхняя, д. 42</w:t>
            </w:r>
          </w:p>
        </w:tc>
        <w:tc>
          <w:tcPr>
            <w:tcW w:w="1924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721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Постановление Правительства Ленинградской области от 16.02.2015 г. №29</w:t>
            </w:r>
          </w:p>
        </w:tc>
        <w:tc>
          <w:tcPr>
            <w:tcW w:w="1349" w:type="dxa"/>
          </w:tcPr>
          <w:p w:rsidR="00207510" w:rsidRPr="00207510" w:rsidRDefault="00207510" w:rsidP="00207510">
            <w:pPr>
              <w:pStyle w:val="ConsPlusNormal"/>
              <w:jc w:val="center"/>
              <w:rPr>
                <w:color w:val="333333"/>
                <w:sz w:val="22"/>
                <w:szCs w:val="22"/>
              </w:rPr>
            </w:pPr>
            <w:r w:rsidRPr="00207510">
              <w:rPr>
                <w:color w:val="333333"/>
                <w:sz w:val="22"/>
                <w:szCs w:val="22"/>
              </w:rPr>
              <w:t>февраль</w:t>
            </w:r>
          </w:p>
        </w:tc>
      </w:tr>
    </w:tbl>
    <w:p w:rsidR="00207510" w:rsidRDefault="00207510" w:rsidP="00207510">
      <w:pPr>
        <w:pStyle w:val="ConsPlusNormal"/>
        <w:jc w:val="center"/>
        <w:rPr>
          <w:color w:val="333333"/>
        </w:rPr>
      </w:pPr>
    </w:p>
    <w:sectPr w:rsidR="0020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A"/>
    <w:rsid w:val="00207510"/>
    <w:rsid w:val="0043023A"/>
    <w:rsid w:val="00556E49"/>
    <w:rsid w:val="009953DF"/>
    <w:rsid w:val="00D5772C"/>
    <w:rsid w:val="00E73CEA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5EBA-0AED-4845-B38A-3AE1DD4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4302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43023A"/>
    <w:rPr>
      <w:color w:val="0000FF"/>
      <w:u w:val="single"/>
    </w:rPr>
  </w:style>
  <w:style w:type="table" w:styleId="a4">
    <w:name w:val="Table Grid"/>
    <w:basedOn w:val="a1"/>
    <w:uiPriority w:val="39"/>
    <w:rsid w:val="0020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41E334A6E5B2F64FD54125197B13E670E968222F1BBB1133EF4A3FDF71F6r5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9BCE0204D45E879C25EF221A6E5B2F64DD440221E7B13E670E96822r2U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DDA44201B7B13E670E968222F1BBB1133EF42r3UEN" TargetMode="Externa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2017-01-09T12:18:00Z</cp:lastPrinted>
  <dcterms:created xsi:type="dcterms:W3CDTF">2015-10-30T12:14:00Z</dcterms:created>
  <dcterms:modified xsi:type="dcterms:W3CDTF">2017-01-09T12:20:00Z</dcterms:modified>
</cp:coreProperties>
</file>