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C5" w:rsidRPr="001076C5" w:rsidRDefault="001076C5" w:rsidP="001076C5">
      <w:pPr>
        <w:spacing w:before="100" w:beforeAutospacing="1" w:after="24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1076C5">
        <w:rPr>
          <w:rFonts w:ascii="Verdana" w:eastAsia="Times New Roman" w:hAnsi="Verdana" w:cs="Arial"/>
          <w:b/>
          <w:bCs/>
          <w:caps/>
          <w:color w:val="5CB1FE"/>
          <w:sz w:val="27"/>
          <w:szCs w:val="27"/>
          <w:lang w:eastAsia="ru-RU"/>
        </w:rPr>
        <w:t xml:space="preserve">ИНФОРМАЦИОННОЕ ПИСЬМО об изменениях федерального законодательства в рамках правого просвещения органов местного самоуправления, населения </w:t>
      </w:r>
    </w:p>
    <w:p w:rsidR="001076C5" w:rsidRPr="001076C5" w:rsidRDefault="001076C5" w:rsidP="001076C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 xml:space="preserve">1.С 1 марта 2015 года вступает в силу Федеральный закон от 29.12.2014 N 487-ФЗ "О внесении изменения в статью 39.5 Земельного кодекса Российской Федерации", согласно которому </w:t>
      </w:r>
      <w:r w:rsidRPr="001076C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граждане, имеющие трех и более детей, получили право выбора мер социальной поддержки по обеспечению жилыми помещениями взамен предоставления им земельного участка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Установлено, что земельный участок, находящийся в государственной или муниципальной собственности, может быть предоставлен гражданам, имеющим 3 и более детей, в случае и в порядке, которые установлены органами государственной власти субъектов РФ. </w:t>
      </w:r>
      <w:proofErr w:type="gramStart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При этом органами государственной власти субъектов РФ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</w:t>
      </w:r>
      <w:proofErr w:type="gramEnd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t xml:space="preserve"> участка в собственность бесплатно.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2. С 1 января 2015 года Федеральный закон от 31.12.2014 N 489-ФЗ "О внесении изменений в отдельные законодательные акты Российской Федерации" в </w:t>
      </w:r>
      <w:r w:rsidRPr="001076C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ряд законодательных актов Российской Федерации внесены изменения, касающиеся гарантии прав несовершеннолетних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В частности, для лиц, имевших судимость за совершение отдельных преступлений небольшой и средней тяжести, вводится возможность допуска к педагогической, предпринимательской или иной трудовой деятельности с участием несовершеннолетних по решению комиссии по делам несовершеннолетних, определены критерии принятия такого решения.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Установлена обязанность работодателя отстранить педагогического работника от работы при получении от правоохранительных органов сведений о том, что работник подвергается уголовному преследованию за преступления, несовместимые с педагогической деятельностью.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3. </w:t>
      </w:r>
      <w:r w:rsidRPr="001076C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Принят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 xml:space="preserve"> Федеральный закон от 31.12.2014 N 500-ФЗ "О внесении изменений в отдельные законодательные акты Российской Федерации", </w:t>
      </w:r>
      <w:r w:rsidRPr="001076C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направленный на повышение качества образования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Законом предусматривается совершенствование механизмов государственной аккредитации. Так, например, исключена необходимость повторной государственной аккредитации образовательной деятельности для организации, реорганизованной в форме присоединения или слияния.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Скорректированы процедуры, связанные с направлением образовательной организации предписания об устранении нарушений требований законодательства об образовании, привлечением к административной ответственности, приостановлением приема абитуриентов, аннулированием лицензии на осуществление образовательной деятельности.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Помимо этого уточнен порядок определения контрольных цифр приема в образовательные организации. </w:t>
      </w:r>
      <w:proofErr w:type="gramStart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t xml:space="preserve">Установлено, в частности, что контрольные цифры приема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образовательным программам среднего профессионального и высшего образования.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4.</w:t>
      </w:r>
      <w:proofErr w:type="gramEnd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gramStart"/>
      <w:r w:rsidRPr="001076C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Подписан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 xml:space="preserve"> Федеральный закон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</w:t>
      </w:r>
      <w:r w:rsidRPr="001076C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направленный на формирование региональных программ в области обращения с твердыми коммунальными отходами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.</w:t>
      </w:r>
      <w:proofErr w:type="gramEnd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Федеральным законом дается определение твердых коммунальных отходов (ТКО).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Также определены, в том числе, такие понятия, как "норматив накопления ТКО", "объекты захоронения отходов", "обработка отходов".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Уточнены полномочия Российской Федерации, субъектов РФ, органов местного самоуправления в области обращения с отходами, порядок лицензирования деятельности по сбору, транспортированию, обработке, утилизации, обезвреживанию, размещению отходов I - IV классов опасности.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Для осуществления деятельности по сбору, транспортированию, обработке, утилизации, обезвреживанию и захоронению твердых коммунальных отходов на территориях субъектов РФ создаются региональные операторы - юридические лица, которым на основании конкурсного отбора присваивается статус регионального оператора на срок не менее 10 лет.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Установлено содержание региональной программы в области обращения с отходами, в том числе с ТКО, требования к территориальным схемам в области обращения с отходами, в том числе с ТКО.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Региональная программа в области обращения с отходами должна быть опубликована в сети Интернет на официальном сайте субъекта РФ для всеобщего и бесплатного доступа.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Также предусмотрено, что производители, импортеры товаров обязаны обеспечивать утилизацию отходов от использования этих товаров в соответствии с нормативами утилизации, определенными Правительством РФ.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Правительство РФ также должно определить порядок создания, эксплуатации и модернизации единой государственной информационной системы учета отходов от использования товаров и порядок взимания экологического сбора (в том числе порядок его исчисления, срок уплаты, порядок взыскания, зачета, возврата излишне уплаченных сумм сбора).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В связи с принятием Закона внесены поправки в целый ряд законодательных актов, признан утратившим силу Федеральный закон "Об основах регулирования тарифов организаций коммунального комплекса", ряд положений федеральных законов, регулирующих отношения, в том числе в области разграничения полномочий между органами государственной власти, в сфере жилищно-коммунального хозяйства, в сфере охраны окружающей среды.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Федеральный закон вступает в силу с 1 января 2015 года, за исключением отдельных 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положений, для которых установлены иные сроки вступления в силу.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5. </w:t>
      </w:r>
      <w:r w:rsidRPr="001076C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Право субъектов РФ перераспределять полномочия между органами государственной власти и органами местного самоуправления получило практическое воплощение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 xml:space="preserve">. 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proofErr w:type="gramStart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Подписанный Президентом РФ Федеральный закон от 29.12.2014 N 485-ФЗ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"О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Федерации" вносит соответствующие изменения в Федеральные законы "О погребении и похоронном деле", "Об отходах производства и потребления", "О введении в действие Земельного кодекса Российской Федерации", "Жилищный кодекс Российской</w:t>
      </w:r>
      <w:proofErr w:type="gramEnd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t xml:space="preserve"> Федерации", "Земельный кодекс Российской Федерации" и другие законодательные акты.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6. Федеральным законом от 31.12.2014 N 499-ФЗ "О внесении изменений в Земельный кодекс Российской Федерации и отдельные законодательные акты Российской Федерации" </w:t>
      </w:r>
      <w:r w:rsidRPr="001076C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установлен новый порядок изъятия земельных участков для государственных и муниципальных нужд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Так, Федеральным законом внесены многочисленные поправки в Земельный кодекс РФ, Гражданский кодекс РФ и целый ряд законодательных актов.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Собственники, землепользователи, землевладельцы и арендаторы земельных участков Федеральным законом объединены в одно общее определение - правообладатели земельных участков.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Уточнены основания изъятия земельных участков для государственных и муниципальных нужд. В Земельный кодекс РФ введена новая глава, устанавливающая порядок изъятия земельных участков для государственных и муниципальных нужд. </w:t>
      </w:r>
      <w:proofErr w:type="gramStart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Определены органы, принимающие решение об изъятии земельных участков, условия изъятия, порядок обращения в уполномоченные органы исполнительной власти или органы местного самоуправления с ходатайством об изъятии земельных участков, порядок принятия решения об изъятии, особенности определения размера возмещения в связи с изъятием, порядок заключения соглашения об изъятии недвижимости для государственных или муниципальных нужд.</w:t>
      </w:r>
      <w:proofErr w:type="gramEnd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Установлены особенности государственного кадастрового учета и государственной регистрации прав на недвижимое имущество при его изъятии для государственных или муниципальных нужд.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Уточнено, что за земельный участок, изымаемый для государственных или муниципальных нужд, его правообладателю предоставляется возмещение. При определении размера возмещения в него включаются рыночная стоимость земельного участка, право </w:t>
      </w:r>
      <w:proofErr w:type="gramStart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собственности</w:t>
      </w:r>
      <w:proofErr w:type="gramEnd"/>
      <w:r w:rsidRPr="001076C5">
        <w:rPr>
          <w:rFonts w:ascii="Verdana" w:eastAsia="Times New Roman" w:hAnsi="Verdana" w:cs="Arial"/>
          <w:sz w:val="20"/>
          <w:szCs w:val="20"/>
          <w:lang w:eastAsia="ru-RU"/>
        </w:rPr>
        <w:t xml:space="preserve"> на который подлежит прекращению, или рыночная стоимость иных прав на земельный участок, подлежащих прекращению, и убытки, причиненные изъятием такого земельного участка, в том числе упущенная выгода.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Установлен порядок предоставления жилого помещения по договору социального найма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Определен порядок прекращения прав граждан и юридических лиц на земельные участки и водные объекты, необходимые для ведения работ, связанных с пользованием недрами.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Федеральный закон вступает в силу с 1 апреля 2015 года.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 xml:space="preserve">7. В соответствии с Федеральным законом от 31.12.2014 N 510-ФЗ "О внесении изменений в Федеральный закон "О государственной гражданской службе Российской Федерации" </w:t>
      </w:r>
      <w:r w:rsidRPr="001076C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периоды замещения должностей государственной и муниципальной службы включаются в стаж государственной гражданской службы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Ранее при замещении должностей государственной гражданской службы не засчитывалось в стаж время, проведенное в должностях муниципальной службы. Принятый закон устраняет эту неточность.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Также скорректирован порядок исчисления стажа государственной службы для установления госслужащим ежемесячных надбавок.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 xml:space="preserve">Городской прокурор </w:t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1076C5">
        <w:rPr>
          <w:rFonts w:ascii="Verdana" w:eastAsia="Times New Roman" w:hAnsi="Verdana" w:cs="Arial"/>
          <w:sz w:val="20"/>
          <w:szCs w:val="20"/>
          <w:lang w:eastAsia="ru-RU"/>
        </w:rPr>
        <w:br/>
        <w:t>советник юстиции П.Н.Репин</w:t>
      </w:r>
    </w:p>
    <w:p w:rsidR="007F17AF" w:rsidRDefault="007F17AF"/>
    <w:sectPr w:rsidR="007F17AF" w:rsidSect="007F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76C5"/>
    <w:rsid w:val="001076C5"/>
    <w:rsid w:val="007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8764</Characters>
  <Application>Microsoft Office Word</Application>
  <DocSecurity>0</DocSecurity>
  <Lines>73</Lines>
  <Paragraphs>20</Paragraphs>
  <ScaleCrop>false</ScaleCrop>
  <Company>Krokoz™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2015-03-25T05:33:00Z</dcterms:created>
  <dcterms:modified xsi:type="dcterms:W3CDTF">2015-03-25T05:33:00Z</dcterms:modified>
</cp:coreProperties>
</file>