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79" w:rsidRDefault="00291679" w:rsidP="00291679">
      <w:pPr>
        <w:shd w:val="clear" w:color="auto" w:fill="F4F4F6"/>
        <w:spacing w:after="300" w:line="390" w:lineRule="atLeast"/>
        <w:outlineLvl w:val="0"/>
        <w:rPr>
          <w:rFonts w:ascii="Arial" w:eastAsia="Times New Roman" w:hAnsi="Arial" w:cs="Arial"/>
          <w:color w:val="28292A"/>
          <w:kern w:val="36"/>
          <w:sz w:val="36"/>
          <w:szCs w:val="36"/>
          <w:lang w:eastAsia="ru-RU"/>
        </w:rPr>
      </w:pPr>
      <w:r w:rsidRPr="00291679">
        <w:rPr>
          <w:rFonts w:ascii="Arial" w:eastAsia="Times New Roman" w:hAnsi="Arial" w:cs="Arial"/>
          <w:color w:val="28292A"/>
          <w:kern w:val="36"/>
          <w:sz w:val="36"/>
          <w:szCs w:val="36"/>
          <w:lang w:eastAsia="ru-RU"/>
        </w:rPr>
        <w:fldChar w:fldCharType="begin"/>
      </w:r>
      <w:r w:rsidRPr="00291679">
        <w:rPr>
          <w:rFonts w:ascii="Arial" w:eastAsia="Times New Roman" w:hAnsi="Arial" w:cs="Arial"/>
          <w:color w:val="28292A"/>
          <w:kern w:val="36"/>
          <w:sz w:val="36"/>
          <w:szCs w:val="36"/>
          <w:lang w:eastAsia="ru-RU"/>
        </w:rPr>
        <w:instrText xml:space="preserve"> HYPERLINK "http://www.lenoblgas.ru/lenobl-subsidii.html" \o "Постановлением Правительства Ленинградской области №282 от 30 августа 2013 года утвержден порядок предоставления субсидий из областного бюджета" </w:instrText>
      </w:r>
      <w:r w:rsidRPr="00291679">
        <w:rPr>
          <w:rFonts w:ascii="Arial" w:eastAsia="Times New Roman" w:hAnsi="Arial" w:cs="Arial"/>
          <w:color w:val="28292A"/>
          <w:kern w:val="36"/>
          <w:sz w:val="36"/>
          <w:szCs w:val="36"/>
          <w:lang w:eastAsia="ru-RU"/>
        </w:rPr>
        <w:fldChar w:fldCharType="separate"/>
      </w:r>
      <w:r w:rsidRPr="00291679">
        <w:rPr>
          <w:rFonts w:ascii="Arial" w:eastAsia="Times New Roman" w:hAnsi="Arial" w:cs="Arial"/>
          <w:color w:val="28292A"/>
          <w:kern w:val="36"/>
          <w:sz w:val="36"/>
          <w:szCs w:val="36"/>
          <w:lang w:eastAsia="ru-RU"/>
        </w:rPr>
        <w:t>Постановлением Правительства Ленинградской области №282 от 30 августа 2013 года утвержден порядок предоставления субсидий из областного бюджета</w:t>
      </w:r>
      <w:r w:rsidRPr="00291679">
        <w:rPr>
          <w:rFonts w:ascii="Arial" w:eastAsia="Times New Roman" w:hAnsi="Arial" w:cs="Arial"/>
          <w:color w:val="28292A"/>
          <w:kern w:val="36"/>
          <w:sz w:val="36"/>
          <w:szCs w:val="36"/>
          <w:lang w:eastAsia="ru-RU"/>
        </w:rPr>
        <w:fldChar w:fldCharType="end"/>
      </w:r>
    </w:p>
    <w:p w:rsidR="00291679" w:rsidRPr="00291679" w:rsidRDefault="00291679" w:rsidP="00291679">
      <w:pPr>
        <w:shd w:val="clear" w:color="auto" w:fill="F4F4F6"/>
        <w:spacing w:after="300" w:line="390" w:lineRule="atLeast"/>
        <w:outlineLvl w:val="0"/>
        <w:rPr>
          <w:rFonts w:ascii="Arial" w:eastAsia="Times New Roman" w:hAnsi="Arial" w:cs="Arial"/>
          <w:color w:val="28292A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291679" w:rsidRPr="00291679" w:rsidRDefault="00291679" w:rsidP="00291679">
      <w:pPr>
        <w:shd w:val="clear" w:color="auto" w:fill="F4F4F6"/>
        <w:spacing w:after="225" w:line="285" w:lineRule="atLeast"/>
        <w:jc w:val="both"/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</w:pP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Постановлением Правительства Ленинградской области №282 от 30 августа 2013 года утвержден порядок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газораспределения…</w:t>
      </w:r>
    </w:p>
    <w:p w:rsidR="00291679" w:rsidRPr="00291679" w:rsidRDefault="00291679" w:rsidP="00291679">
      <w:pPr>
        <w:shd w:val="clear" w:color="auto" w:fill="F4F4F6"/>
        <w:spacing w:before="150" w:after="225" w:line="285" w:lineRule="atLeast"/>
        <w:jc w:val="both"/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</w:pP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Что это Постановление меняет в работе ОАО «</w:t>
      </w:r>
      <w:proofErr w:type="spellStart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Леноблгаз</w:t>
      </w:r>
      <w:proofErr w:type="spellEnd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», региональной газораспределительной организации?</w:t>
      </w:r>
    </w:p>
    <w:p w:rsidR="00291679" w:rsidRPr="00291679" w:rsidRDefault="00291679" w:rsidP="00291679">
      <w:pPr>
        <w:shd w:val="clear" w:color="auto" w:fill="F4F4F6"/>
        <w:spacing w:before="150" w:after="225" w:line="285" w:lineRule="atLeast"/>
        <w:jc w:val="both"/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</w:pPr>
      <w:r w:rsidRPr="00291679">
        <w:rPr>
          <w:rFonts w:ascii="Arial" w:eastAsia="Times New Roman" w:hAnsi="Arial" w:cs="Arial"/>
          <w:b/>
          <w:bCs/>
          <w:color w:val="646566"/>
          <w:sz w:val="24"/>
          <w:szCs w:val="20"/>
          <w:lang w:eastAsia="ru-RU"/>
        </w:rPr>
        <w:t>Первое.</w:t>
      </w: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 Станет еще более тесным взаимодействие нашей компании с комитетом по топливно-энергетическому комплексу Ленинградской области, т.к. </w:t>
      </w:r>
      <w:r w:rsidRPr="00291679">
        <w:rPr>
          <w:rFonts w:ascii="Arial" w:eastAsia="Times New Roman" w:hAnsi="Arial" w:cs="Arial"/>
          <w:b/>
          <w:bCs/>
          <w:color w:val="646566"/>
          <w:sz w:val="24"/>
          <w:szCs w:val="20"/>
          <w:lang w:eastAsia="ru-RU"/>
        </w:rPr>
        <w:t>Претендентом на получение субсидии</w:t>
      </w: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 xml:space="preserve"> становится юридическое лицо, индивидуальный предприниматель, физическое лицо, заключившие с </w:t>
      </w:r>
      <w:proofErr w:type="gramStart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;К</w:t>
      </w:r>
      <w:proofErr w:type="gramEnd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омитетом соглашение о предоставлении субсидии.</w:t>
      </w:r>
    </w:p>
    <w:p w:rsidR="00291679" w:rsidRPr="00291679" w:rsidRDefault="00291679" w:rsidP="00291679">
      <w:pPr>
        <w:shd w:val="clear" w:color="auto" w:fill="F4F4F6"/>
        <w:spacing w:before="150" w:after="225" w:line="285" w:lineRule="atLeast"/>
        <w:jc w:val="both"/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</w:pPr>
      <w:r w:rsidRPr="00291679">
        <w:rPr>
          <w:rFonts w:ascii="Arial" w:eastAsia="Times New Roman" w:hAnsi="Arial" w:cs="Arial"/>
          <w:b/>
          <w:bCs/>
          <w:color w:val="646566"/>
          <w:sz w:val="24"/>
          <w:szCs w:val="20"/>
          <w:lang w:eastAsia="ru-RU"/>
        </w:rPr>
        <w:t>Второе.</w:t>
      </w: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 </w:t>
      </w:r>
      <w:proofErr w:type="gramStart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Постановлением определено, что </w:t>
      </w:r>
      <w:r w:rsidRPr="00291679">
        <w:rPr>
          <w:rFonts w:ascii="Arial" w:eastAsia="Times New Roman" w:hAnsi="Arial" w:cs="Arial"/>
          <w:b/>
          <w:bCs/>
          <w:color w:val="646566"/>
          <w:sz w:val="24"/>
          <w:szCs w:val="20"/>
          <w:lang w:eastAsia="ru-RU"/>
        </w:rPr>
        <w:t>Работы по подключению внутридомового газового оборудования индивидуальных домовладений к сетям газораспределения</w:t>
      </w: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 – комплекс мероприятий, включающий в себя инженерные изыскания, проектирование, прохождение экспертизы промышленной безопасности, прохождение государственной экспертизы в части достоверности определения сметной стоимости строительства, строительство газопровода от места присоединения к распределительному (уличному) газопроводу до отключающего устройства (перед вводным газопроводом на входе в индивидуальный жилой дом или футляром при</w:t>
      </w:r>
      <w:proofErr w:type="gramEnd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 xml:space="preserve"> </w:t>
      </w:r>
      <w:proofErr w:type="gramStart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вводе</w:t>
      </w:r>
      <w:proofErr w:type="gramEnd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 xml:space="preserve"> газопровода в индивидуальный жилой дом в подземном исполнении), присоединение к газораспределительной сети, а также осуществление строительного контроля.</w:t>
      </w:r>
    </w:p>
    <w:p w:rsidR="00291679" w:rsidRPr="00291679" w:rsidRDefault="00291679" w:rsidP="00291679">
      <w:pPr>
        <w:shd w:val="clear" w:color="auto" w:fill="F4F4F6"/>
        <w:spacing w:before="150" w:after="225" w:line="285" w:lineRule="atLeast"/>
        <w:jc w:val="both"/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</w:pP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А компанией, которая имеет право и все возможности (в том числе технические и технологические) производить вышеуказанные виды работ является именно ОАО «</w:t>
      </w:r>
      <w:proofErr w:type="spellStart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Леноблгаз</w:t>
      </w:r>
      <w:proofErr w:type="spellEnd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».</w:t>
      </w:r>
    </w:p>
    <w:p w:rsidR="00291679" w:rsidRPr="00291679" w:rsidRDefault="00291679" w:rsidP="00291679">
      <w:pPr>
        <w:shd w:val="clear" w:color="auto" w:fill="F4F4F6"/>
        <w:spacing w:before="150" w:after="225" w:line="285" w:lineRule="atLeast"/>
        <w:jc w:val="both"/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</w:pPr>
      <w:r w:rsidRPr="00291679">
        <w:rPr>
          <w:rFonts w:ascii="Arial" w:eastAsia="Times New Roman" w:hAnsi="Arial" w:cs="Arial"/>
          <w:b/>
          <w:bCs/>
          <w:color w:val="646566"/>
          <w:sz w:val="24"/>
          <w:szCs w:val="20"/>
          <w:lang w:eastAsia="ru-RU"/>
        </w:rPr>
        <w:t>Третье.</w:t>
      </w: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 Мы прекрасно понимаем, что принятое Постановление направлено на ускорение процесса полной газификации Ленинградской области и для значительного увеличения % газифицированных индивидуальных домовладений.</w:t>
      </w:r>
    </w:p>
    <w:p w:rsidR="00291679" w:rsidRPr="00291679" w:rsidRDefault="00291679" w:rsidP="00291679">
      <w:pPr>
        <w:shd w:val="clear" w:color="auto" w:fill="F4F4F6"/>
        <w:spacing w:before="150" w:after="225" w:line="285" w:lineRule="atLeast"/>
        <w:jc w:val="both"/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</w:pP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 xml:space="preserve">Далее, т.к. субсидия перечисляется Получателю субсидии только после выполнения работы по подключению внутридомового газового оборудования индивидуальных домовладений к сетям газораспределения, а процесс субсидирования включает в себя подготовку всех документов, подачу заявки, ее рассмотрения и т.п. Значит договор на подключение </w:t>
      </w: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lastRenderedPageBreak/>
        <w:t>внутридомового газового оборудования индивидуального домовладения к сетям газораспределения, мы выполним гораздо быстрее, чем получим субсидию, т.е. произойдет процесс кредитования компанией ОАО «</w:t>
      </w:r>
      <w:proofErr w:type="spellStart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Леноблгаз</w:t>
      </w:r>
      <w:proofErr w:type="spellEnd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» </w:t>
      </w:r>
      <w:r w:rsidRPr="00291679">
        <w:rPr>
          <w:rFonts w:ascii="Arial" w:eastAsia="Times New Roman" w:hAnsi="Arial" w:cs="Arial"/>
          <w:b/>
          <w:bCs/>
          <w:color w:val="646566"/>
          <w:sz w:val="24"/>
          <w:szCs w:val="20"/>
          <w:lang w:eastAsia="ru-RU"/>
        </w:rPr>
        <w:t>Собственника домовладения.</w:t>
      </w:r>
    </w:p>
    <w:p w:rsidR="00291679" w:rsidRPr="00291679" w:rsidRDefault="00291679" w:rsidP="00291679">
      <w:pPr>
        <w:shd w:val="clear" w:color="auto" w:fill="F4F4F6"/>
        <w:spacing w:before="150" w:after="225" w:line="285" w:lineRule="atLeast"/>
        <w:jc w:val="both"/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</w:pP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Мы сознательно идем на это. Потому, что увеличение числа газифицированных индивидуальных домовладений – это и увеличение протяженности газовых сетей, обслуживаемых ОАО «</w:t>
      </w:r>
      <w:proofErr w:type="spellStart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Леноблгаз</w:t>
      </w:r>
      <w:proofErr w:type="spellEnd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», это увеличение числа потребителей, что ведет к увеличению объема прокачки газа по газовым сетям, а это наша работа и наш хлеб.</w:t>
      </w:r>
    </w:p>
    <w:p w:rsidR="00291679" w:rsidRPr="00291679" w:rsidRDefault="00291679" w:rsidP="00291679">
      <w:pPr>
        <w:shd w:val="clear" w:color="auto" w:fill="F4F4F6"/>
        <w:spacing w:before="150" w:after="225" w:line="285" w:lineRule="atLeast"/>
        <w:jc w:val="both"/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</w:pP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Более того, подключая </w:t>
      </w:r>
      <w:r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 xml:space="preserve"> </w:t>
      </w:r>
      <w:r w:rsidRPr="00291679">
        <w:rPr>
          <w:rFonts w:ascii="Arial" w:eastAsia="Times New Roman" w:hAnsi="Arial" w:cs="Arial"/>
          <w:b/>
          <w:bCs/>
          <w:color w:val="646566"/>
          <w:sz w:val="24"/>
          <w:szCs w:val="20"/>
          <w:lang w:eastAsia="ru-RU"/>
        </w:rPr>
        <w:t>Собственника домовладени</w:t>
      </w:r>
      <w:r>
        <w:rPr>
          <w:rFonts w:ascii="Arial" w:eastAsia="Times New Roman" w:hAnsi="Arial" w:cs="Arial"/>
          <w:b/>
          <w:bCs/>
          <w:color w:val="646566"/>
          <w:sz w:val="24"/>
          <w:szCs w:val="20"/>
          <w:lang w:eastAsia="ru-RU"/>
        </w:rPr>
        <w:t>я</w:t>
      </w:r>
      <w:r w:rsidRPr="00291679">
        <w:rPr>
          <w:rFonts w:ascii="Arial" w:eastAsia="Times New Roman" w:hAnsi="Arial" w:cs="Arial"/>
          <w:b/>
          <w:bCs/>
          <w:color w:val="646566"/>
          <w:sz w:val="24"/>
          <w:szCs w:val="20"/>
          <w:lang w:eastAsia="ru-RU"/>
        </w:rPr>
        <w:t> </w:t>
      </w: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к</w:t>
      </w:r>
      <w:r w:rsidRPr="00291679">
        <w:rPr>
          <w:rFonts w:ascii="Arial" w:eastAsia="Times New Roman" w:hAnsi="Arial" w:cs="Arial"/>
          <w:b/>
          <w:bCs/>
          <w:color w:val="646566"/>
          <w:sz w:val="24"/>
          <w:szCs w:val="20"/>
          <w:lang w:eastAsia="ru-RU"/>
        </w:rPr>
        <w:t> </w:t>
      </w: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сетям газораспределения, параллельно с проектированием мы можем предложить ему выбрать и приобрести современное внутридомовое газовое оборудование и газовые приборы через сеть выставочных салонов ОАО «</w:t>
      </w:r>
      <w:proofErr w:type="spellStart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Леноблгаз</w:t>
      </w:r>
      <w:proofErr w:type="spellEnd"/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», при этом мы производим сервисное обслуживание выбранного оборудования  после его установки.</w:t>
      </w:r>
    </w:p>
    <w:p w:rsidR="00291679" w:rsidRPr="00291679" w:rsidRDefault="00291679" w:rsidP="00291679">
      <w:pPr>
        <w:shd w:val="clear" w:color="auto" w:fill="F4F4F6"/>
        <w:spacing w:before="150" w:after="225" w:line="285" w:lineRule="atLeast"/>
        <w:jc w:val="both"/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</w:pP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И в заключении хочу сказать о том, что более всего волнует жителей Ленинградской области. Оплата</w:t>
      </w:r>
      <w:r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 xml:space="preserve"> </w:t>
      </w:r>
      <w:r w:rsidRPr="00291679">
        <w:rPr>
          <w:rFonts w:ascii="Arial" w:eastAsia="Times New Roman" w:hAnsi="Arial" w:cs="Arial"/>
          <w:b/>
          <w:bCs/>
          <w:color w:val="646566"/>
          <w:sz w:val="24"/>
          <w:szCs w:val="20"/>
          <w:lang w:eastAsia="ru-RU"/>
        </w:rPr>
        <w:t>собственником домовладения</w:t>
      </w: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 выполненных работ по подключению внутридомового газового оборудования индивидуальных домовладений к сетям газораспределения предусматривается в размере не менее:</w:t>
      </w:r>
    </w:p>
    <w:p w:rsidR="00291679" w:rsidRPr="00291679" w:rsidRDefault="00291679" w:rsidP="00291679">
      <w:pPr>
        <w:shd w:val="clear" w:color="auto" w:fill="F4F4F6"/>
        <w:spacing w:before="150" w:after="225" w:line="285" w:lineRule="atLeast"/>
        <w:jc w:val="both"/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</w:pP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10 тысяч рублей – для собственников домовладений льготных категорий (они перечислены в приложении №1 к принятому Порядку)</w:t>
      </w:r>
    </w:p>
    <w:p w:rsidR="00291679" w:rsidRPr="00291679" w:rsidRDefault="00291679" w:rsidP="00291679">
      <w:pPr>
        <w:shd w:val="clear" w:color="auto" w:fill="F4F4F6"/>
        <w:spacing w:before="150" w:after="0" w:line="285" w:lineRule="atLeast"/>
        <w:jc w:val="both"/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</w:pP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50 тысяч рублей – для прочих собственников домовладений. При этом максимальный размер субсидии предоставляемой </w:t>
      </w:r>
      <w:r w:rsidRPr="00291679">
        <w:rPr>
          <w:rFonts w:ascii="Arial" w:eastAsia="Times New Roman" w:hAnsi="Arial" w:cs="Arial"/>
          <w:b/>
          <w:bCs/>
          <w:color w:val="646566"/>
          <w:sz w:val="24"/>
          <w:szCs w:val="20"/>
          <w:lang w:eastAsia="ru-RU"/>
        </w:rPr>
        <w:t>собственникам домовладений</w:t>
      </w:r>
      <w:r w:rsidRPr="00291679">
        <w:rPr>
          <w:rFonts w:ascii="Arial" w:eastAsia="Times New Roman" w:hAnsi="Arial" w:cs="Arial"/>
          <w:b/>
          <w:color w:val="646566"/>
          <w:sz w:val="24"/>
          <w:szCs w:val="20"/>
          <w:lang w:eastAsia="ru-RU"/>
        </w:rPr>
        <w:t> льготных категорий не может превышать 110 тысяч рублей.</w:t>
      </w:r>
    </w:p>
    <w:p w:rsidR="00AE3A99" w:rsidRPr="00291679" w:rsidRDefault="00AE3A99" w:rsidP="00291679">
      <w:pPr>
        <w:jc w:val="both"/>
        <w:rPr>
          <w:b/>
          <w:sz w:val="28"/>
        </w:rPr>
      </w:pPr>
    </w:p>
    <w:sectPr w:rsidR="00AE3A99" w:rsidRPr="0029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79"/>
    <w:rsid w:val="00291679"/>
    <w:rsid w:val="00A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2013-11-29T04:12:00Z</cp:lastPrinted>
  <dcterms:created xsi:type="dcterms:W3CDTF">2013-11-29T04:11:00Z</dcterms:created>
  <dcterms:modified xsi:type="dcterms:W3CDTF">2013-11-29T04:13:00Z</dcterms:modified>
</cp:coreProperties>
</file>